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i w:val="0"/>
          <w:sz w:val="27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914400</wp:posOffset>
            </wp:positionH>
            <wp:positionV relativeFrom="paragraph">
              <wp:posOffset>-205985</wp:posOffset>
            </wp:positionV>
            <wp:extent cx="1273822" cy="460373"/>
            <wp:effectExtent l="0" t="0" r="0" b="0"/>
            <wp:wrapNone/>
            <wp:docPr id="1" name="image1.jpeg" descr="BBS Logo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822" cy="460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CONTINUING</w:t>
      </w:r>
      <w:r>
        <w:rPr>
          <w:spacing w:val="-16"/>
        </w:rPr>
        <w:t> </w:t>
      </w:r>
      <w:r>
        <w:rPr/>
        <w:t>EDUCATION</w:t>
      </w:r>
      <w:r>
        <w:rPr>
          <w:spacing w:val="-14"/>
        </w:rPr>
        <w:t> </w:t>
      </w:r>
      <w:r>
        <w:rPr/>
        <w:t>(CE)</w:t>
      </w:r>
      <w:r>
        <w:rPr>
          <w:spacing w:val="-13"/>
        </w:rPr>
        <w:t> </w:t>
      </w:r>
      <w:r>
        <w:rPr>
          <w:spacing w:val="-2"/>
        </w:rPr>
        <w:t>REQUIREMENTS</w:t>
      </w:r>
    </w:p>
    <w:p>
      <w:pPr>
        <w:pStyle w:val="BodyText"/>
        <w:rPr>
          <w:rFonts w:ascii="Arial Rounded MT Bold"/>
          <w:b/>
          <w:i w:val="0"/>
          <w:sz w:val="22"/>
        </w:rPr>
      </w:pPr>
    </w:p>
    <w:tbl>
      <w:tblPr>
        <w:tblW w:w="0" w:type="auto"/>
        <w:jc w:val="left"/>
        <w:tblInd w:w="11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72"/>
        <w:gridCol w:w="967"/>
        <w:gridCol w:w="833"/>
        <w:gridCol w:w="9991"/>
      </w:tblGrid>
      <w:tr>
        <w:trPr>
          <w:trHeight w:val="390" w:hRule="atLeast"/>
        </w:trPr>
        <w:tc>
          <w:tcPr>
            <w:tcW w:w="936" w:type="dxa"/>
            <w:tcBorders>
              <w:top w:val="nil"/>
              <w:left w:val="nil"/>
            </w:tcBorders>
            <w:shd w:val="clear" w:color="auto" w:fill="000000"/>
          </w:tcPr>
          <w:p>
            <w:pPr>
              <w:pStyle w:val="TableParagraph"/>
              <w:spacing w:line="371" w:lineRule="exact"/>
              <w:ind w:left="96" w:right="90"/>
              <w:jc w:val="center"/>
              <w:rPr>
                <w:b/>
                <w:sz w:val="32"/>
              </w:rPr>
            </w:pPr>
            <w:r>
              <w:rPr>
                <w:b/>
                <w:color w:val="FFFFFF"/>
                <w:spacing w:val="-4"/>
                <w:sz w:val="32"/>
              </w:rPr>
              <w:t>LMFT</w:t>
            </w:r>
          </w:p>
        </w:tc>
        <w:tc>
          <w:tcPr>
            <w:tcW w:w="972" w:type="dxa"/>
            <w:tcBorders>
              <w:top w:val="nil"/>
            </w:tcBorders>
            <w:shd w:val="clear" w:color="auto" w:fill="000000"/>
          </w:tcPr>
          <w:p>
            <w:pPr>
              <w:pStyle w:val="TableParagraph"/>
              <w:spacing w:line="371" w:lineRule="exact"/>
              <w:ind w:left="98" w:right="93"/>
              <w:jc w:val="center"/>
              <w:rPr>
                <w:b/>
                <w:sz w:val="32"/>
              </w:rPr>
            </w:pPr>
            <w:r>
              <w:rPr>
                <w:b/>
                <w:color w:val="FFFFFF"/>
                <w:spacing w:val="-4"/>
                <w:sz w:val="32"/>
              </w:rPr>
              <w:t>LCSW</w:t>
            </w:r>
          </w:p>
        </w:tc>
        <w:tc>
          <w:tcPr>
            <w:tcW w:w="967" w:type="dxa"/>
            <w:tcBorders>
              <w:top w:val="nil"/>
            </w:tcBorders>
            <w:shd w:val="clear" w:color="auto" w:fill="000000"/>
          </w:tcPr>
          <w:p>
            <w:pPr>
              <w:pStyle w:val="TableParagraph"/>
              <w:spacing w:line="371" w:lineRule="exact"/>
              <w:ind w:left="148" w:right="140"/>
              <w:jc w:val="center"/>
              <w:rPr>
                <w:b/>
                <w:sz w:val="32"/>
              </w:rPr>
            </w:pPr>
            <w:r>
              <w:rPr>
                <w:b/>
                <w:color w:val="FFFFFF"/>
                <w:spacing w:val="-4"/>
                <w:sz w:val="32"/>
              </w:rPr>
              <w:t>LPCC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000000"/>
          </w:tcPr>
          <w:p>
            <w:pPr>
              <w:pStyle w:val="TableParagraph"/>
              <w:spacing w:line="371" w:lineRule="exact"/>
              <w:ind w:left="171" w:right="165"/>
              <w:jc w:val="center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LEP</w:t>
            </w:r>
          </w:p>
        </w:tc>
        <w:tc>
          <w:tcPr>
            <w:tcW w:w="9991" w:type="dxa"/>
            <w:tcBorders>
              <w:top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371" w:lineRule="exac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COURSES</w:t>
            </w:r>
            <w:r>
              <w:rPr>
                <w:b/>
                <w:color w:val="FFFFFF"/>
                <w:spacing w:val="-15"/>
                <w:sz w:val="32"/>
              </w:rPr>
              <w:t> </w:t>
            </w:r>
            <w:r>
              <w:rPr>
                <w:b/>
                <w:color w:val="FFFFFF"/>
                <w:spacing w:val="-2"/>
                <w:sz w:val="32"/>
              </w:rPr>
              <w:t>REQUIRED</w:t>
            </w:r>
          </w:p>
        </w:tc>
      </w:tr>
      <w:tr>
        <w:trPr>
          <w:trHeight w:val="431" w:hRule="atLeast"/>
        </w:trPr>
        <w:tc>
          <w:tcPr>
            <w:tcW w:w="1369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>
            <w:pPr>
              <w:pStyle w:val="TableParagraph"/>
              <w:spacing w:before="45"/>
              <w:ind w:left="4273" w:right="426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Required</w:t>
            </w:r>
            <w:r>
              <w:rPr>
                <w:b/>
                <w:i/>
                <w:spacing w:val="-4"/>
                <w:sz w:val="28"/>
              </w:rPr>
              <w:t> </w:t>
            </w:r>
            <w:r>
              <w:rPr>
                <w:b/>
                <w:i/>
                <w:sz w:val="28"/>
              </w:rPr>
              <w:t>for</w:t>
            </w:r>
            <w:r>
              <w:rPr>
                <w:b/>
                <w:i/>
                <w:spacing w:val="-4"/>
                <w:sz w:val="28"/>
              </w:rPr>
              <w:t> </w:t>
            </w:r>
            <w:r>
              <w:rPr>
                <w:b/>
                <w:i/>
                <w:sz w:val="28"/>
              </w:rPr>
              <w:t>all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Renewals</w:t>
            </w:r>
            <w:r>
              <w:rPr>
                <w:b/>
                <w:i/>
                <w:spacing w:val="-5"/>
                <w:sz w:val="28"/>
              </w:rPr>
              <w:t> </w:t>
            </w:r>
            <w:r>
              <w:rPr>
                <w:b/>
                <w:i/>
                <w:sz w:val="28"/>
              </w:rPr>
              <w:t>in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2021</w:t>
            </w:r>
            <w:r>
              <w:rPr>
                <w:b/>
                <w:i/>
                <w:spacing w:val="-4"/>
                <w:sz w:val="28"/>
              </w:rPr>
              <w:t> </w:t>
            </w:r>
            <w:r>
              <w:rPr>
                <w:b/>
                <w:i/>
                <w:sz w:val="28"/>
              </w:rPr>
              <w:t>and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pacing w:val="-4"/>
                <w:sz w:val="28"/>
              </w:rPr>
              <w:t>2022*</w:t>
            </w:r>
          </w:p>
        </w:tc>
      </w:tr>
      <w:tr>
        <w:trPr>
          <w:trHeight w:val="1142" w:hRule="atLeast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0"/>
              <w:rPr>
                <w:rFonts w:ascii="Arial Rounded MT Bold"/>
                <w:b/>
                <w:sz w:val="38"/>
              </w:rPr>
            </w:pPr>
          </w:p>
          <w:p>
            <w:pPr>
              <w:pStyle w:val="TableParagraph"/>
              <w:ind w:left="8"/>
              <w:jc w:val="center"/>
              <w:rPr>
                <w:rFonts w:ascii="Wingdings 2" w:hAnsi="Wingdings 2"/>
                <w:b/>
                <w:sz w:val="28"/>
              </w:rPr>
            </w:pPr>
            <w:r>
              <w:rPr>
                <w:rFonts w:ascii="Wingdings 2" w:hAnsi="Wingdings 2"/>
                <w:b/>
                <w:w w:val="100"/>
                <w:sz w:val="28"/>
              </w:rPr>
              <w:t>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0"/>
              <w:rPr>
                <w:rFonts w:ascii="Arial Rounded MT Bold"/>
                <w:b/>
                <w:sz w:val="38"/>
              </w:rPr>
            </w:pPr>
          </w:p>
          <w:p>
            <w:pPr>
              <w:pStyle w:val="TableParagraph"/>
              <w:ind w:left="10"/>
              <w:jc w:val="center"/>
              <w:rPr>
                <w:rFonts w:ascii="Wingdings 2" w:hAnsi="Wingdings 2"/>
                <w:b/>
                <w:sz w:val="28"/>
              </w:rPr>
            </w:pPr>
            <w:r>
              <w:rPr>
                <w:rFonts w:ascii="Wingdings 2" w:hAnsi="Wingdings 2"/>
                <w:b/>
                <w:w w:val="100"/>
                <w:sz w:val="28"/>
              </w:rPr>
              <w:t>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0"/>
              <w:rPr>
                <w:rFonts w:ascii="Arial Rounded MT Bold"/>
                <w:b/>
                <w:sz w:val="38"/>
              </w:rPr>
            </w:pPr>
          </w:p>
          <w:p>
            <w:pPr>
              <w:pStyle w:val="TableParagraph"/>
              <w:ind w:left="11"/>
              <w:jc w:val="center"/>
              <w:rPr>
                <w:rFonts w:ascii="Wingdings 2" w:hAnsi="Wingdings 2"/>
                <w:b/>
                <w:sz w:val="28"/>
              </w:rPr>
            </w:pPr>
            <w:r>
              <w:rPr>
                <w:rFonts w:ascii="Wingdings 2" w:hAnsi="Wingdings 2"/>
                <w:b/>
                <w:w w:val="100"/>
                <w:sz w:val="28"/>
              </w:rPr>
              <w:t>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0"/>
              <w:rPr>
                <w:rFonts w:ascii="Arial Rounded MT Bold"/>
                <w:b/>
                <w:sz w:val="38"/>
              </w:rPr>
            </w:pPr>
          </w:p>
          <w:p>
            <w:pPr>
              <w:pStyle w:val="TableParagraph"/>
              <w:ind w:left="11"/>
              <w:jc w:val="center"/>
              <w:rPr>
                <w:rFonts w:ascii="Wingdings 2" w:hAnsi="Wingdings 2"/>
                <w:b/>
                <w:sz w:val="28"/>
              </w:rPr>
            </w:pPr>
            <w:r>
              <w:rPr>
                <w:rFonts w:ascii="Wingdings 2" w:hAnsi="Wingdings 2"/>
                <w:b/>
                <w:w w:val="100"/>
                <w:sz w:val="28"/>
              </w:rPr>
              <w:t></w:t>
            </w:r>
          </w:p>
        </w:tc>
        <w:tc>
          <w:tcPr>
            <w:tcW w:w="9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9"/>
              <w:rPr>
                <w:i/>
                <w:sz w:val="24"/>
              </w:rPr>
            </w:pPr>
            <w:r>
              <w:rPr>
                <w:b/>
                <w:sz w:val="26"/>
              </w:rPr>
              <w:t>Suicide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Risk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Assessment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and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Intervention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(6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hours)</w:t>
            </w:r>
            <w:r>
              <w:rPr>
                <w:b/>
                <w:spacing w:val="-7"/>
                <w:sz w:val="26"/>
              </w:rPr>
              <w:t> </w:t>
            </w:r>
            <w:r>
              <w:rPr>
                <w:i/>
                <w:sz w:val="24"/>
              </w:rPr>
              <w:t>Note: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Can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also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be completed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via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supervised</w:t>
            </w:r>
            <w:r>
              <w:rPr>
                <w:i/>
                <w:sz w:val="24"/>
              </w:rPr>
              <w:t> training and can be any age- see Business and Professions Code (BPC) sections 4980.396 (LMFT), 4989.23 (LEP), 4996.27 (LCSW) and 4999.66 (LPCC)</w:t>
            </w:r>
          </w:p>
        </w:tc>
      </w:tr>
      <w:tr>
        <w:trPr>
          <w:trHeight w:val="431" w:hRule="atLeast"/>
        </w:trPr>
        <w:tc>
          <w:tcPr>
            <w:tcW w:w="13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>
            <w:pPr>
              <w:pStyle w:val="TableParagraph"/>
              <w:spacing w:before="45"/>
              <w:ind w:left="4273" w:right="426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Required</w:t>
            </w:r>
            <w:r>
              <w:rPr>
                <w:b/>
                <w:i/>
                <w:spacing w:val="-5"/>
                <w:sz w:val="28"/>
              </w:rPr>
              <w:t> </w:t>
            </w:r>
            <w:r>
              <w:rPr>
                <w:b/>
                <w:i/>
                <w:sz w:val="28"/>
              </w:rPr>
              <w:t>for</w:t>
            </w:r>
            <w:r>
              <w:rPr>
                <w:b/>
                <w:i/>
                <w:spacing w:val="-6"/>
                <w:sz w:val="28"/>
              </w:rPr>
              <w:t> </w:t>
            </w:r>
            <w:r>
              <w:rPr>
                <w:b/>
                <w:i/>
                <w:sz w:val="28"/>
              </w:rPr>
              <w:t>FIRST</w:t>
            </w:r>
            <w:r>
              <w:rPr>
                <w:b/>
                <w:i/>
                <w:spacing w:val="-5"/>
                <w:sz w:val="28"/>
              </w:rPr>
              <w:t> </w:t>
            </w:r>
            <w:r>
              <w:rPr>
                <w:b/>
                <w:i/>
                <w:sz w:val="28"/>
              </w:rPr>
              <w:t>Renewal</w:t>
            </w:r>
            <w:r>
              <w:rPr>
                <w:b/>
                <w:i/>
                <w:spacing w:val="-4"/>
                <w:sz w:val="28"/>
              </w:rPr>
              <w:t> Only</w:t>
            </w:r>
          </w:p>
        </w:tc>
      </w:tr>
      <w:tr>
        <w:trPr>
          <w:trHeight w:val="558" w:hRule="atLeast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2"/>
              <w:ind w:left="8"/>
              <w:jc w:val="center"/>
              <w:rPr>
                <w:rFonts w:ascii="Wingdings 2" w:hAnsi="Wingdings 2"/>
                <w:b/>
                <w:sz w:val="28"/>
              </w:rPr>
            </w:pPr>
            <w:r>
              <w:rPr>
                <w:rFonts w:ascii="Wingdings 2" w:hAnsi="Wingdings 2"/>
                <w:b/>
                <w:w w:val="100"/>
                <w:sz w:val="28"/>
              </w:rPr>
              <w:t>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2"/>
              <w:ind w:left="10"/>
              <w:jc w:val="center"/>
              <w:rPr>
                <w:rFonts w:ascii="Wingdings 2" w:hAnsi="Wingdings 2"/>
                <w:b/>
                <w:sz w:val="28"/>
              </w:rPr>
            </w:pPr>
            <w:r>
              <w:rPr>
                <w:rFonts w:ascii="Wingdings 2" w:hAnsi="Wingdings 2"/>
                <w:b/>
                <w:w w:val="100"/>
                <w:sz w:val="28"/>
              </w:rPr>
              <w:t>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2"/>
              <w:ind w:left="11"/>
              <w:jc w:val="center"/>
              <w:rPr>
                <w:rFonts w:ascii="Wingdings 2" w:hAnsi="Wingdings 2"/>
                <w:b/>
                <w:sz w:val="28"/>
              </w:rPr>
            </w:pPr>
            <w:r>
              <w:rPr>
                <w:rFonts w:ascii="Wingdings 2" w:hAnsi="Wingdings 2"/>
                <w:b/>
                <w:w w:val="100"/>
                <w:sz w:val="28"/>
              </w:rPr>
              <w:t>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2"/>
              <w:rPr>
                <w:i/>
                <w:sz w:val="24"/>
              </w:rPr>
            </w:pPr>
            <w:r>
              <w:rPr>
                <w:b/>
                <w:sz w:val="26"/>
              </w:rPr>
              <w:t>HIV/AIDs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(7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hours)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i/>
                <w:sz w:val="24"/>
              </w:rPr>
              <w:t>per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Title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16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California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Code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Regulations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(16CCR)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section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1887.3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pacing w:val="-5"/>
                <w:sz w:val="24"/>
              </w:rPr>
              <w:t>(c)</w:t>
            </w:r>
          </w:p>
        </w:tc>
      </w:tr>
      <w:tr>
        <w:trPr>
          <w:trHeight w:val="556" w:hRule="atLeast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0"/>
              <w:ind w:left="11"/>
              <w:jc w:val="center"/>
              <w:rPr>
                <w:rFonts w:ascii="Wingdings 2" w:hAnsi="Wingdings 2"/>
                <w:b/>
                <w:sz w:val="28"/>
              </w:rPr>
            </w:pPr>
            <w:r>
              <w:rPr>
                <w:rFonts w:ascii="Wingdings 2" w:hAnsi="Wingdings 2"/>
                <w:b/>
                <w:w w:val="100"/>
                <w:sz w:val="28"/>
              </w:rPr>
              <w:t></w:t>
            </w:r>
          </w:p>
        </w:tc>
        <w:tc>
          <w:tcPr>
            <w:tcW w:w="9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9"/>
              <w:rPr>
                <w:i/>
                <w:sz w:val="24"/>
              </w:rPr>
            </w:pPr>
            <w:r>
              <w:rPr>
                <w:b/>
                <w:sz w:val="26"/>
              </w:rPr>
              <w:t>Child</w:t>
            </w:r>
            <w:r>
              <w:rPr>
                <w:b/>
                <w:spacing w:val="-7"/>
                <w:sz w:val="26"/>
              </w:rPr>
              <w:t> </w:t>
            </w:r>
            <w:r>
              <w:rPr>
                <w:b/>
                <w:sz w:val="26"/>
              </w:rPr>
              <w:t>Abuse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Assessment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and</w:t>
            </w:r>
            <w:r>
              <w:rPr>
                <w:b/>
                <w:spacing w:val="-7"/>
                <w:sz w:val="26"/>
              </w:rPr>
              <w:t> </w:t>
            </w:r>
            <w:r>
              <w:rPr>
                <w:b/>
                <w:sz w:val="26"/>
              </w:rPr>
              <w:t>Reporting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(7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hours)</w:t>
            </w:r>
            <w:r>
              <w:rPr>
                <w:b/>
                <w:spacing w:val="-8"/>
                <w:sz w:val="26"/>
              </w:rPr>
              <w:t> </w:t>
            </w:r>
            <w:r>
              <w:rPr>
                <w:i/>
                <w:sz w:val="24"/>
              </w:rPr>
              <w:t>per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16CCR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section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1807.2</w:t>
            </w:r>
          </w:p>
        </w:tc>
      </w:tr>
      <w:tr>
        <w:trPr>
          <w:trHeight w:val="558" w:hRule="atLeast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0"/>
              <w:ind w:left="11"/>
              <w:jc w:val="center"/>
              <w:rPr>
                <w:rFonts w:ascii="Wingdings 2" w:hAnsi="Wingdings 2"/>
                <w:b/>
                <w:sz w:val="28"/>
              </w:rPr>
            </w:pPr>
            <w:r>
              <w:rPr>
                <w:rFonts w:ascii="Wingdings 2" w:hAnsi="Wingdings 2"/>
                <w:b/>
                <w:w w:val="100"/>
                <w:sz w:val="28"/>
              </w:rPr>
              <w:t></w:t>
            </w:r>
          </w:p>
        </w:tc>
        <w:tc>
          <w:tcPr>
            <w:tcW w:w="9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9"/>
              <w:rPr>
                <w:i/>
                <w:sz w:val="24"/>
              </w:rPr>
            </w:pPr>
            <w:r>
              <w:rPr>
                <w:b/>
                <w:sz w:val="26"/>
              </w:rPr>
              <w:t>Alcoholism</w:t>
            </w:r>
            <w:r>
              <w:rPr>
                <w:b/>
                <w:spacing w:val="-7"/>
                <w:sz w:val="26"/>
              </w:rPr>
              <w:t> </w:t>
            </w:r>
            <w:r>
              <w:rPr>
                <w:b/>
                <w:sz w:val="26"/>
              </w:rPr>
              <w:t>and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Other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Chemical</w:t>
            </w:r>
            <w:r>
              <w:rPr>
                <w:b/>
                <w:spacing w:val="-8"/>
                <w:sz w:val="26"/>
              </w:rPr>
              <w:t> </w:t>
            </w:r>
            <w:r>
              <w:rPr>
                <w:b/>
                <w:sz w:val="26"/>
              </w:rPr>
              <w:t>Substance</w:t>
            </w:r>
            <w:r>
              <w:rPr>
                <w:b/>
                <w:spacing w:val="-7"/>
                <w:sz w:val="26"/>
              </w:rPr>
              <w:t> </w:t>
            </w:r>
            <w:r>
              <w:rPr>
                <w:b/>
                <w:sz w:val="26"/>
              </w:rPr>
              <w:t>Dependency</w:t>
            </w:r>
            <w:r>
              <w:rPr>
                <w:b/>
                <w:spacing w:val="-9"/>
                <w:sz w:val="26"/>
              </w:rPr>
              <w:t> </w:t>
            </w:r>
            <w:r>
              <w:rPr>
                <w:b/>
                <w:sz w:val="26"/>
              </w:rPr>
              <w:t>(15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hours)</w:t>
            </w:r>
            <w:r>
              <w:rPr>
                <w:b/>
                <w:spacing w:val="-10"/>
                <w:sz w:val="26"/>
              </w:rPr>
              <w:t> </w:t>
            </w:r>
            <w:r>
              <w:rPr>
                <w:i/>
                <w:sz w:val="24"/>
              </w:rPr>
              <w:t>per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16CCR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section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pacing w:val="-4"/>
                <w:sz w:val="24"/>
              </w:rPr>
              <w:t>1810</w:t>
            </w:r>
          </w:p>
        </w:tc>
      </w:tr>
      <w:tr>
        <w:trPr>
          <w:trHeight w:val="431" w:hRule="atLeast"/>
        </w:trPr>
        <w:tc>
          <w:tcPr>
            <w:tcW w:w="13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>
            <w:pPr>
              <w:pStyle w:val="TableParagraph"/>
              <w:spacing w:before="45"/>
              <w:ind w:left="4273" w:right="426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Required</w:t>
            </w:r>
            <w:r>
              <w:rPr>
                <w:b/>
                <w:i/>
                <w:spacing w:val="-5"/>
                <w:sz w:val="28"/>
              </w:rPr>
              <w:t> </w:t>
            </w:r>
            <w:r>
              <w:rPr>
                <w:b/>
                <w:i/>
                <w:sz w:val="28"/>
              </w:rPr>
              <w:t>for</w:t>
            </w:r>
            <w:r>
              <w:rPr>
                <w:b/>
                <w:i/>
                <w:spacing w:val="-5"/>
                <w:sz w:val="28"/>
              </w:rPr>
              <w:t> </w:t>
            </w:r>
            <w:r>
              <w:rPr>
                <w:b/>
                <w:i/>
                <w:sz w:val="28"/>
              </w:rPr>
              <w:t>EVERY</w:t>
            </w:r>
            <w:r>
              <w:rPr>
                <w:b/>
                <w:i/>
                <w:spacing w:val="-4"/>
                <w:sz w:val="28"/>
              </w:rPr>
              <w:t> </w:t>
            </w:r>
            <w:r>
              <w:rPr>
                <w:b/>
                <w:i/>
                <w:spacing w:val="-2"/>
                <w:sz w:val="28"/>
              </w:rPr>
              <w:t>Renewal</w:t>
            </w:r>
          </w:p>
        </w:tc>
      </w:tr>
      <w:tr>
        <w:trPr>
          <w:trHeight w:val="554" w:hRule="atLeast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0"/>
              <w:ind w:left="8"/>
              <w:jc w:val="center"/>
              <w:rPr>
                <w:rFonts w:ascii="Wingdings 2" w:hAnsi="Wingdings 2"/>
                <w:b/>
                <w:sz w:val="28"/>
              </w:rPr>
            </w:pPr>
            <w:r>
              <w:rPr>
                <w:rFonts w:ascii="Wingdings 2" w:hAnsi="Wingdings 2"/>
                <w:b/>
                <w:w w:val="100"/>
                <w:sz w:val="28"/>
              </w:rPr>
              <w:t>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0"/>
              <w:ind w:left="10"/>
              <w:jc w:val="center"/>
              <w:rPr>
                <w:rFonts w:ascii="Wingdings 2" w:hAnsi="Wingdings 2"/>
                <w:b/>
                <w:sz w:val="28"/>
              </w:rPr>
            </w:pPr>
            <w:r>
              <w:rPr>
                <w:rFonts w:ascii="Wingdings 2" w:hAnsi="Wingdings 2"/>
                <w:b/>
                <w:w w:val="100"/>
                <w:sz w:val="28"/>
              </w:rPr>
              <w:t>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0"/>
              <w:ind w:left="11"/>
              <w:jc w:val="center"/>
              <w:rPr>
                <w:rFonts w:ascii="Wingdings 2" w:hAnsi="Wingdings 2"/>
                <w:b/>
                <w:sz w:val="28"/>
              </w:rPr>
            </w:pPr>
            <w:r>
              <w:rPr>
                <w:rFonts w:ascii="Wingdings 2" w:hAnsi="Wingdings 2"/>
                <w:b/>
                <w:w w:val="100"/>
                <w:sz w:val="28"/>
              </w:rPr>
              <w:t>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0"/>
              <w:ind w:left="11"/>
              <w:jc w:val="center"/>
              <w:rPr>
                <w:rFonts w:ascii="Wingdings 2" w:hAnsi="Wingdings 2"/>
                <w:b/>
                <w:sz w:val="28"/>
              </w:rPr>
            </w:pPr>
            <w:r>
              <w:rPr>
                <w:rFonts w:ascii="Wingdings 2" w:hAnsi="Wingdings 2"/>
                <w:b/>
                <w:w w:val="100"/>
                <w:sz w:val="28"/>
              </w:rPr>
              <w:t></w:t>
            </w:r>
          </w:p>
        </w:tc>
        <w:tc>
          <w:tcPr>
            <w:tcW w:w="999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9"/>
              <w:rPr>
                <w:sz w:val="24"/>
              </w:rPr>
            </w:pPr>
            <w:r>
              <w:rPr>
                <w:b/>
                <w:sz w:val="26"/>
              </w:rPr>
              <w:t>Law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and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Ethics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(6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hours)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i/>
                <w:sz w:val="24"/>
              </w:rPr>
              <w:t>per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16CCR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section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sz w:val="24"/>
              </w:rPr>
              <w:t>1887.3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(d)</w:t>
            </w:r>
          </w:p>
        </w:tc>
      </w:tr>
      <w:tr>
        <w:trPr>
          <w:trHeight w:val="1099" w:hRule="atLeast"/>
        </w:trPr>
        <w:tc>
          <w:tcPr>
            <w:tcW w:w="1908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2"/>
              <w:rPr>
                <w:b/>
                <w:sz w:val="28"/>
              </w:rPr>
            </w:pPr>
            <w:r>
              <w:rPr>
                <w:b/>
                <w:sz w:val="28"/>
              </w:rPr>
              <w:t>Overall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Hours:</w:t>
            </w:r>
          </w:p>
        </w:tc>
        <w:tc>
          <w:tcPr>
            <w:tcW w:w="11791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0"/>
              <w:rPr>
                <w:rFonts w:ascii="Arial Rounded MT Bold"/>
                <w:b/>
                <w:sz w:val="20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licensees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required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complete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MINIMUM 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18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hours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first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renewal.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LEPs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required to complete more hours due to their particular requirements. All subsequent renewals have a requirement of 36 hours.</w:t>
            </w:r>
          </w:p>
        </w:tc>
      </w:tr>
      <w:tr>
        <w:trPr>
          <w:trHeight w:val="971" w:hRule="atLeast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right="135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Dual </w:t>
            </w:r>
            <w:r>
              <w:rPr>
                <w:b/>
                <w:spacing w:val="-2"/>
                <w:sz w:val="28"/>
              </w:rPr>
              <w:t>Licensees:</w:t>
            </w:r>
          </w:p>
        </w:tc>
        <w:tc>
          <w:tcPr>
            <w:tcW w:w="11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119"/>
              <w:rPr>
                <w:sz w:val="24"/>
              </w:rPr>
            </w:pPr>
            <w:r>
              <w:rPr>
                <w:sz w:val="24"/>
              </w:rPr>
              <w:t>If you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LMFT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LCSW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license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 addition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LPCC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license,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 may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apply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hours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both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licenses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if the course meets all CE requirements and the subject matter relates to both scopes of practice.</w:t>
            </w:r>
          </w:p>
        </w:tc>
      </w:tr>
      <w:tr>
        <w:trPr>
          <w:trHeight w:val="1312" w:hRule="atLeast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right="87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Courses Taught:</w:t>
            </w:r>
          </w:p>
        </w:tc>
        <w:tc>
          <w:tcPr>
            <w:tcW w:w="11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You may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claim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credit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teaching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course.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receive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same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amount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hours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attendee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would receive. However, you can only claim credit for teaching a course one time during a single renewal period.</w:t>
            </w:r>
          </w:p>
          <w:p>
            <w:pPr>
              <w:pStyle w:val="TableParagraph"/>
              <w:tabs>
                <w:tab w:pos="3364" w:val="left" w:leader="none"/>
              </w:tabs>
              <w:spacing w:before="120"/>
              <w:rPr>
                <w:sz w:val="24"/>
              </w:rPr>
            </w:pPr>
            <w:r>
              <w:rPr>
                <w:sz w:val="24"/>
              </w:rPr>
              <w:t>1 Semester Unit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15 CE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hours</w:t>
            </w:r>
            <w:r>
              <w:rPr>
                <w:sz w:val="24"/>
              </w:rPr>
              <w:tab/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Quarter Unit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= 10 CE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hours</w:t>
            </w:r>
          </w:p>
        </w:tc>
      </w:tr>
      <w:tr>
        <w:trPr>
          <w:trHeight w:val="882" w:hRule="atLeast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Supervisors:</w:t>
            </w:r>
          </w:p>
        </w:tc>
        <w:tc>
          <w:tcPr>
            <w:tcW w:w="11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119"/>
              <w:rPr>
                <w:sz w:val="24"/>
              </w:rPr>
            </w:pPr>
            <w:r>
              <w:rPr>
                <w:sz w:val="24"/>
              </w:rPr>
              <w:t>Supervisors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 Associates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Marriage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Family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Therapist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Trainees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supervisor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training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hours to their CE requirement as long as the training has been taken from an acceptable CE provider.</w:t>
            </w:r>
          </w:p>
        </w:tc>
      </w:tr>
    </w:tbl>
    <w:p>
      <w:pPr>
        <w:pStyle w:val="BodyText"/>
        <w:spacing w:before="0"/>
        <w:rPr>
          <w:rFonts w:ascii="Arial Rounded MT Bold"/>
          <w:b/>
          <w:i w:val="0"/>
        </w:rPr>
      </w:pPr>
    </w:p>
    <w:p>
      <w:pPr>
        <w:pStyle w:val="BodyText"/>
        <w:rPr>
          <w:rFonts w:ascii="Arial Rounded MT Bold"/>
          <w:b/>
          <w:i w:val="0"/>
          <w:sz w:val="17"/>
        </w:rPr>
      </w:pPr>
    </w:p>
    <w:p>
      <w:pPr>
        <w:pStyle w:val="BodyText"/>
        <w:tabs>
          <w:tab w:pos="11738" w:val="left" w:leader="none"/>
        </w:tabs>
        <w:spacing w:before="59"/>
        <w:ind w:left="220"/>
        <w:rPr>
          <w:i/>
        </w:rPr>
      </w:pPr>
      <w:r>
        <w:rPr>
          <w:i w:val="0"/>
        </w:rPr>
        <w:t>*</w:t>
      </w:r>
      <w:r>
        <w:rPr>
          <w:i w:val="0"/>
          <w:spacing w:val="-6"/>
        </w:rPr>
        <w:t> </w:t>
      </w:r>
      <w:r>
        <w:rPr>
          <w:i/>
        </w:rPr>
        <w:t>if</w:t>
      </w:r>
      <w:r>
        <w:rPr>
          <w:i/>
          <w:spacing w:val="-6"/>
        </w:rPr>
        <w:t> </w:t>
      </w:r>
      <w:r>
        <w:rPr>
          <w:i/>
        </w:rPr>
        <w:t>not</w:t>
      </w:r>
      <w:r>
        <w:rPr>
          <w:i/>
          <w:spacing w:val="-6"/>
        </w:rPr>
        <w:t> </w:t>
      </w:r>
      <w:r>
        <w:rPr>
          <w:i/>
        </w:rPr>
        <w:t>submitted</w:t>
      </w:r>
      <w:r>
        <w:rPr>
          <w:i/>
          <w:spacing w:val="-4"/>
        </w:rPr>
        <w:t> </w:t>
      </w:r>
      <w:r>
        <w:rPr>
          <w:i/>
        </w:rPr>
        <w:t>with</w:t>
      </w:r>
      <w:r>
        <w:rPr>
          <w:i/>
          <w:spacing w:val="-4"/>
        </w:rPr>
        <w:t> </w:t>
      </w:r>
      <w:r>
        <w:rPr>
          <w:i/>
        </w:rPr>
        <w:t>a</w:t>
      </w:r>
      <w:r>
        <w:rPr>
          <w:i/>
          <w:spacing w:val="-4"/>
        </w:rPr>
        <w:t> </w:t>
      </w:r>
      <w:r>
        <w:rPr>
          <w:i/>
        </w:rPr>
        <w:t>licensure</w:t>
      </w:r>
      <w:r>
        <w:rPr>
          <w:i/>
          <w:spacing w:val="-4"/>
        </w:rPr>
        <w:t> </w:t>
      </w:r>
      <w:r>
        <w:rPr>
          <w:i/>
          <w:spacing w:val="-2"/>
        </w:rPr>
        <w:t>application</w:t>
      </w:r>
      <w:r>
        <w:rPr>
          <w:i/>
        </w:rPr>
        <w:tab/>
        <w:t>Revised</w:t>
      </w:r>
      <w:r>
        <w:rPr>
          <w:i/>
          <w:spacing w:val="-9"/>
        </w:rPr>
        <w:t> </w:t>
      </w:r>
      <w:r>
        <w:rPr>
          <w:i/>
          <w:spacing w:val="-2"/>
        </w:rPr>
        <w:t>01/2022</w:t>
      </w:r>
    </w:p>
    <w:sectPr>
      <w:type w:val="continuous"/>
      <w:pgSz w:w="15840" w:h="12240" w:orient="landscape"/>
      <w:pgMar w:top="440" w:bottom="280" w:left="122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 2">
    <w:altName w:val="Wingdings 2"/>
    <w:charset w:val="2"/>
    <w:family w:val="roman"/>
    <w:pitch w:val="variable"/>
  </w:font>
  <w:font w:name="Arial Rounded MT Bold">
    <w:altName w:val="Arial Rounded MT Bold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4"/>
    </w:pPr>
    <w:rPr>
      <w:rFonts w:ascii="Calibri" w:hAnsi="Calibri" w:eastAsia="Calibri" w:cs="Calibri"/>
      <w:i/>
      <w:i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0"/>
      <w:ind w:left="3114" w:right="3215"/>
      <w:jc w:val="center"/>
    </w:pPr>
    <w:rPr>
      <w:rFonts w:ascii="Arial Rounded MT Bold" w:hAnsi="Arial Rounded MT Bold" w:eastAsia="Arial Rounded MT Bold" w:cs="Arial Rounded MT Bold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</dc:creator>
  <cp:keywords>Continuing Education (Ce) Requirements</cp:keywords>
  <dc:subject>Continuing Education (Ce) Requirements</dc:subject>
  <dc:title>Continuing Education (Ce) Requirements</dc:title>
  <dcterms:created xsi:type="dcterms:W3CDTF">2022-03-29T17:47:25Z</dcterms:created>
  <dcterms:modified xsi:type="dcterms:W3CDTF">2022-03-29T17:47:25Z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2022-03-29T00:00:00Z</vt:filetime>
  </property>
</Properties>
</file>